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75" w:rsidRDefault="00DE1F75" w:rsidP="003874FC">
      <w:pPr>
        <w:shd w:val="clear" w:color="auto" w:fill="FFFFFF"/>
        <w:spacing w:after="0" w:line="510" w:lineRule="atLeast"/>
        <w:textAlignment w:val="center"/>
        <w:outlineLvl w:val="0"/>
        <w:rPr>
          <w:rFonts w:ascii="Helvetica" w:eastAsia="Times New Roman" w:hAnsi="Helvetica" w:cs="Helvetica"/>
          <w:b/>
          <w:bCs/>
          <w:color w:val="444444"/>
          <w:spacing w:val="-2"/>
          <w:kern w:val="36"/>
          <w:sz w:val="36"/>
          <w:szCs w:val="36"/>
        </w:rPr>
      </w:pPr>
      <w:r w:rsidRPr="00DE1F75">
        <w:rPr>
          <w:rFonts w:ascii="Helvetica" w:eastAsia="Times New Roman" w:hAnsi="Helvetica" w:cs="Helvetica"/>
          <w:b/>
          <w:bCs/>
          <w:color w:val="444444"/>
          <w:spacing w:val="-2"/>
          <w:kern w:val="36"/>
          <w:sz w:val="36"/>
          <w:szCs w:val="36"/>
          <w:highlight w:val="yellow"/>
        </w:rPr>
        <w:t>XYZ Company</w:t>
      </w:r>
      <w:r>
        <w:rPr>
          <w:rFonts w:ascii="Helvetica" w:eastAsia="Times New Roman" w:hAnsi="Helvetica" w:cs="Helvetica"/>
          <w:b/>
          <w:bCs/>
          <w:color w:val="444444"/>
          <w:spacing w:val="-2"/>
          <w:kern w:val="36"/>
          <w:sz w:val="36"/>
          <w:szCs w:val="36"/>
        </w:rPr>
        <w:t xml:space="preserve"> Announces</w:t>
      </w:r>
      <w:r w:rsidR="005A7C9D" w:rsidRPr="005A7C9D">
        <w:rPr>
          <w:rFonts w:ascii="Helvetica" w:eastAsia="Times New Roman" w:hAnsi="Helvetica" w:cs="Helvetica"/>
          <w:b/>
          <w:bCs/>
          <w:color w:val="444444"/>
          <w:spacing w:val="-2"/>
          <w:kern w:val="36"/>
          <w:sz w:val="36"/>
          <w:szCs w:val="36"/>
        </w:rPr>
        <w:t xml:space="preserve"> Completion of SOC 2</w:t>
      </w:r>
      <w:r w:rsidR="005A7C9D" w:rsidRPr="005A7C9D">
        <w:rPr>
          <w:rFonts w:ascii="Helvetica" w:eastAsia="Times New Roman" w:hAnsi="Helvetica" w:cs="Helvetica"/>
          <w:b/>
          <w:bCs/>
          <w:color w:val="444444"/>
          <w:spacing w:val="-2"/>
          <w:kern w:val="36"/>
          <w:sz w:val="27"/>
          <w:szCs w:val="27"/>
          <w:vertAlign w:val="superscript"/>
        </w:rPr>
        <w:t>®</w:t>
      </w:r>
      <w:r w:rsidR="005A7C9D" w:rsidRPr="005A7C9D">
        <w:rPr>
          <w:rFonts w:ascii="Helvetica" w:eastAsia="Times New Roman" w:hAnsi="Helvetica" w:cs="Helvetica"/>
          <w:b/>
          <w:bCs/>
          <w:color w:val="444444"/>
          <w:spacing w:val="-2"/>
          <w:kern w:val="36"/>
          <w:sz w:val="36"/>
          <w:szCs w:val="36"/>
        </w:rPr>
        <w:t> </w:t>
      </w:r>
      <w:r>
        <w:rPr>
          <w:rFonts w:ascii="Helvetica" w:eastAsia="Times New Roman" w:hAnsi="Helvetica" w:cs="Helvetica"/>
          <w:b/>
          <w:bCs/>
          <w:color w:val="444444"/>
          <w:spacing w:val="-2"/>
          <w:kern w:val="36"/>
          <w:sz w:val="36"/>
          <w:szCs w:val="36"/>
        </w:rPr>
        <w:t>Examination</w:t>
      </w:r>
    </w:p>
    <w:p w:rsidR="003874FC" w:rsidRPr="003874FC" w:rsidRDefault="003874FC" w:rsidP="003874FC">
      <w:pPr>
        <w:shd w:val="clear" w:color="auto" w:fill="FFFFFF"/>
        <w:spacing w:after="0" w:line="510" w:lineRule="atLeast"/>
        <w:textAlignment w:val="center"/>
        <w:outlineLvl w:val="0"/>
        <w:rPr>
          <w:rFonts w:ascii="Helvetica" w:eastAsia="Times New Roman" w:hAnsi="Helvetica" w:cs="Helvetica"/>
          <w:b/>
          <w:bCs/>
          <w:color w:val="444444"/>
          <w:spacing w:val="-2"/>
          <w:kern w:val="36"/>
          <w:sz w:val="36"/>
          <w:szCs w:val="36"/>
        </w:rPr>
      </w:pPr>
      <w:bookmarkStart w:id="0" w:name="_GoBack"/>
      <w:bookmarkEnd w:id="0"/>
    </w:p>
    <w:p w:rsidR="005A7C9D" w:rsidRPr="005A7C9D" w:rsidRDefault="00DE1F75" w:rsidP="005A7C9D">
      <w:pPr>
        <w:shd w:val="clear" w:color="auto" w:fill="FEFEFE"/>
        <w:spacing w:after="360" w:line="240" w:lineRule="auto"/>
        <w:rPr>
          <w:rFonts w:eastAsia="Times New Roman" w:cstheme="minorHAnsi"/>
        </w:rPr>
      </w:pPr>
      <w:r w:rsidRPr="003874FC">
        <w:rPr>
          <w:rFonts w:eastAsia="Times New Roman" w:cstheme="minorHAnsi"/>
          <w:highlight w:val="yellow"/>
        </w:rPr>
        <w:t>XYZ Company</w:t>
      </w:r>
      <w:r w:rsidR="005A7C9D" w:rsidRPr="005A7C9D">
        <w:rPr>
          <w:rFonts w:eastAsia="Times New Roman" w:cstheme="minorHAnsi"/>
        </w:rPr>
        <w:t xml:space="preserve">, a leader in </w:t>
      </w:r>
      <w:r w:rsidRPr="003874FC">
        <w:rPr>
          <w:rFonts w:eastAsia="Times New Roman" w:cstheme="minorHAnsi"/>
          <w:highlight w:val="yellow"/>
        </w:rPr>
        <w:t>XXXXXXXXXXXXX</w:t>
      </w:r>
      <w:r w:rsidRPr="003874FC">
        <w:rPr>
          <w:rFonts w:eastAsia="Times New Roman" w:cstheme="minorHAnsi"/>
        </w:rPr>
        <w:t>, formally announced</w:t>
      </w:r>
      <w:r w:rsidR="005A7C9D" w:rsidRPr="005A7C9D">
        <w:rPr>
          <w:rFonts w:eastAsia="Times New Roman" w:cstheme="minorHAnsi"/>
        </w:rPr>
        <w:t xml:space="preserve"> its completion of the System and Organization</w:t>
      </w:r>
      <w:r w:rsidRPr="003874FC">
        <w:rPr>
          <w:rFonts w:eastAsia="Times New Roman" w:cstheme="minorHAnsi"/>
        </w:rPr>
        <w:t xml:space="preserve"> Controls</w:t>
      </w:r>
      <w:r w:rsidR="005A7C9D" w:rsidRPr="005A7C9D">
        <w:rPr>
          <w:rFonts w:eastAsia="Times New Roman" w:cstheme="minorHAnsi"/>
        </w:rPr>
        <w:t xml:space="preserve"> (SOC) for Services Organizations (SOC 2) Type II report for its </w:t>
      </w:r>
      <w:r w:rsidRPr="003874FC">
        <w:rPr>
          <w:rFonts w:eastAsia="Times New Roman" w:cstheme="minorHAnsi"/>
          <w:highlight w:val="yellow"/>
        </w:rPr>
        <w:t>XXXXXXXXXXXXX</w:t>
      </w:r>
      <w:r w:rsidRPr="003874FC">
        <w:rPr>
          <w:rFonts w:eastAsia="Times New Roman" w:cstheme="minorHAnsi"/>
        </w:rPr>
        <w:t xml:space="preserve"> </w:t>
      </w:r>
      <w:r w:rsidR="005A7C9D" w:rsidRPr="005A7C9D">
        <w:rPr>
          <w:rFonts w:eastAsia="Times New Roman" w:cstheme="minorHAnsi"/>
        </w:rPr>
        <w:t>solutions</w:t>
      </w:r>
      <w:r w:rsidR="000C1C05" w:rsidRPr="003874FC">
        <w:rPr>
          <w:rFonts w:eastAsia="Times New Roman" w:cstheme="minorHAnsi"/>
        </w:rPr>
        <w:t xml:space="preserve"> for the period </w:t>
      </w:r>
      <w:r w:rsidR="000C1C05" w:rsidRPr="003874FC">
        <w:rPr>
          <w:rFonts w:eastAsia="Times New Roman" w:cstheme="minorHAnsi"/>
          <w:highlight w:val="yellow"/>
        </w:rPr>
        <w:t>XXXXXX</w:t>
      </w:r>
      <w:r w:rsidR="000C1C05" w:rsidRPr="003874FC">
        <w:rPr>
          <w:rFonts w:eastAsia="Times New Roman" w:cstheme="minorHAnsi"/>
        </w:rPr>
        <w:t xml:space="preserve"> through </w:t>
      </w:r>
      <w:r w:rsidR="000C1C05" w:rsidRPr="003874FC">
        <w:rPr>
          <w:rFonts w:eastAsia="Times New Roman" w:cstheme="minorHAnsi"/>
          <w:highlight w:val="yellow"/>
        </w:rPr>
        <w:t>YYYYYY</w:t>
      </w:r>
      <w:r w:rsidR="005A7C9D" w:rsidRPr="005A7C9D">
        <w:rPr>
          <w:rFonts w:eastAsia="Times New Roman" w:cstheme="minorHAnsi"/>
        </w:rPr>
        <w:t xml:space="preserve">. </w:t>
      </w:r>
      <w:hyperlink r:id="rId5" w:history="1">
        <w:r w:rsidR="008839E0" w:rsidRPr="003874FC">
          <w:rPr>
            <w:rStyle w:val="Hyperlink"/>
            <w:rFonts w:cstheme="minorHAnsi"/>
            <w:color w:val="auto"/>
            <w:u w:val="none"/>
            <w:shd w:val="clear" w:color="auto" w:fill="FFFFFF"/>
          </w:rPr>
          <w:t>SOC for Service Organizations reports </w:t>
        </w:r>
      </w:hyperlink>
      <w:r w:rsidR="008839E0" w:rsidRPr="003874FC">
        <w:rPr>
          <w:rFonts w:cstheme="minorHAnsi"/>
          <w:shd w:val="clear" w:color="auto" w:fill="FFFFFF"/>
        </w:rPr>
        <w:t>are designed to help service organizations, entities that process information or handle busine</w:t>
      </w:r>
      <w:r w:rsidR="00EC4A2B" w:rsidRPr="003874FC">
        <w:rPr>
          <w:rFonts w:cstheme="minorHAnsi"/>
          <w:shd w:val="clear" w:color="auto" w:fill="FFFFFF"/>
        </w:rPr>
        <w:t>ss transactions on behalf of their</w:t>
      </w:r>
      <w:r w:rsidR="008839E0" w:rsidRPr="003874FC">
        <w:rPr>
          <w:rFonts w:cstheme="minorHAnsi"/>
          <w:shd w:val="clear" w:color="auto" w:fill="FFFFFF"/>
        </w:rPr>
        <w:t xml:space="preserve"> customers, build trust and confidence in their service delivery and controls over information and data through a report prepared by a CPA. </w:t>
      </w:r>
      <w:r w:rsidR="008839E0" w:rsidRPr="003874FC">
        <w:rPr>
          <w:rFonts w:cstheme="minorHAnsi"/>
        </w:rPr>
        <w:t xml:space="preserve"> These reports</w:t>
      </w:r>
      <w:r w:rsidR="008839E0" w:rsidRPr="003874FC">
        <w:rPr>
          <w:rFonts w:cstheme="minorHAnsi"/>
        </w:rPr>
        <w:t xml:space="preserve"> play an important role in oversight of the organization, vendor management programs, internal corporate governance and risk management processes, and regulatory oversight. Stakeholders who may use these reports include management or those charged with governance of the user entities and of the service organization, customers, regulators, business partners and suppliers, among others.</w:t>
      </w:r>
    </w:p>
    <w:p w:rsidR="00EC4A2B" w:rsidRPr="003874FC" w:rsidRDefault="005A7C9D" w:rsidP="005A7C9D">
      <w:pPr>
        <w:shd w:val="clear" w:color="auto" w:fill="FEFEFE"/>
        <w:spacing w:after="360" w:line="240" w:lineRule="auto"/>
        <w:rPr>
          <w:rFonts w:eastAsia="Times New Roman" w:cstheme="minorHAnsi"/>
        </w:rPr>
      </w:pPr>
      <w:r w:rsidRPr="005A7C9D">
        <w:rPr>
          <w:rFonts w:eastAsia="Times New Roman" w:cstheme="minorHAnsi"/>
        </w:rPr>
        <w:t xml:space="preserve">Established by the American Institute of </w:t>
      </w:r>
      <w:r w:rsidR="00DE1F75" w:rsidRPr="003874FC">
        <w:rPr>
          <w:rFonts w:eastAsia="Times New Roman" w:cstheme="minorHAnsi"/>
        </w:rPr>
        <w:t>Certified Public Accountants</w:t>
      </w:r>
      <w:r w:rsidRPr="005A7C9D">
        <w:rPr>
          <w:rFonts w:eastAsia="Times New Roman" w:cstheme="minorHAnsi"/>
        </w:rPr>
        <w:t xml:space="preserve"> (AICPA), SOC 2 defines the criteria for managing customer data b</w:t>
      </w:r>
      <w:r w:rsidR="00DE1F75" w:rsidRPr="003874FC">
        <w:rPr>
          <w:rFonts w:eastAsia="Times New Roman" w:cstheme="minorHAnsi"/>
        </w:rPr>
        <w:t xml:space="preserve">ased on </w:t>
      </w:r>
      <w:r w:rsidR="00EC4A2B" w:rsidRPr="003874FC">
        <w:rPr>
          <w:rFonts w:eastAsia="Times New Roman" w:cstheme="minorHAnsi"/>
        </w:rPr>
        <w:t xml:space="preserve">a clearly defined set of </w:t>
      </w:r>
      <w:r w:rsidR="00DE1F75" w:rsidRPr="003874FC">
        <w:rPr>
          <w:rFonts w:eastAsia="Times New Roman" w:cstheme="minorHAnsi"/>
        </w:rPr>
        <w:t>Trust Services Criteria</w:t>
      </w:r>
      <w:r w:rsidR="00EC4A2B" w:rsidRPr="003874FC">
        <w:rPr>
          <w:rFonts w:eastAsia="Times New Roman" w:cstheme="minorHAnsi"/>
        </w:rPr>
        <w:t xml:space="preserve"> (TSC)</w:t>
      </w:r>
      <w:r w:rsidRPr="005A7C9D">
        <w:rPr>
          <w:rFonts w:eastAsia="Times New Roman" w:cstheme="minorHAnsi"/>
        </w:rPr>
        <w:t xml:space="preserve">. </w:t>
      </w:r>
      <w:r w:rsidR="00EC4A2B" w:rsidRPr="003874FC">
        <w:rPr>
          <w:rFonts w:eastAsia="Times New Roman" w:cstheme="minorHAnsi"/>
        </w:rPr>
        <w:t xml:space="preserve">The categories of TSC that are included in </w:t>
      </w:r>
      <w:r w:rsidR="00EC4A2B" w:rsidRPr="003874FC">
        <w:rPr>
          <w:rFonts w:eastAsia="Times New Roman" w:cstheme="minorHAnsi"/>
          <w:highlight w:val="yellow"/>
        </w:rPr>
        <w:t>XYZ Company’s</w:t>
      </w:r>
      <w:r w:rsidR="00EC4A2B" w:rsidRPr="003874FC">
        <w:rPr>
          <w:rFonts w:eastAsia="Times New Roman" w:cstheme="minorHAnsi"/>
        </w:rPr>
        <w:t xml:space="preserve"> SOC 2 report include:</w:t>
      </w:r>
    </w:p>
    <w:p w:rsidR="000C1C05" w:rsidRPr="003874FC" w:rsidRDefault="000C1C05" w:rsidP="000C1C05">
      <w:pPr>
        <w:pStyle w:val="Bullets"/>
        <w:ind w:left="720"/>
        <w:rPr>
          <w:rFonts w:asciiTheme="minorHAnsi" w:hAnsiTheme="minorHAnsi" w:cstheme="minorHAnsi"/>
          <w:color w:val="auto"/>
          <w:sz w:val="22"/>
          <w:highlight w:val="yellow"/>
        </w:rPr>
      </w:pPr>
      <w:r w:rsidRPr="003874FC">
        <w:rPr>
          <w:rFonts w:asciiTheme="minorHAnsi" w:hAnsiTheme="minorHAnsi" w:cstheme="minorHAnsi"/>
          <w:i/>
          <w:color w:val="auto"/>
          <w:sz w:val="22"/>
          <w:highlight w:val="yellow"/>
        </w:rPr>
        <w:t>Security</w:t>
      </w:r>
      <w:r w:rsidRPr="003874FC">
        <w:rPr>
          <w:rFonts w:asciiTheme="minorHAnsi" w:hAnsiTheme="minorHAnsi" w:cstheme="minorHAnsi"/>
          <w:color w:val="auto"/>
          <w:sz w:val="22"/>
          <w:highlight w:val="yellow"/>
        </w:rPr>
        <w:t>: Information and systems are protected against unauthorized access, unauthorized disclosure of information, and damage to systems that could compromise the availability, integrity, confidentiality and privacy of information or systems and affect the entity's ability to meet its objectives.</w:t>
      </w:r>
    </w:p>
    <w:p w:rsidR="000C1C05" w:rsidRPr="003874FC" w:rsidRDefault="000C1C05" w:rsidP="000C1C05">
      <w:pPr>
        <w:pStyle w:val="Bullets"/>
        <w:ind w:left="720"/>
        <w:rPr>
          <w:rFonts w:asciiTheme="minorHAnsi" w:hAnsiTheme="minorHAnsi" w:cstheme="minorHAnsi"/>
          <w:i/>
          <w:color w:val="auto"/>
          <w:sz w:val="22"/>
          <w:highlight w:val="yellow"/>
        </w:rPr>
      </w:pPr>
      <w:r w:rsidRPr="003874FC">
        <w:rPr>
          <w:rFonts w:asciiTheme="minorHAnsi" w:hAnsiTheme="minorHAnsi" w:cstheme="minorHAnsi"/>
          <w:i/>
          <w:color w:val="auto"/>
          <w:sz w:val="22"/>
          <w:highlight w:val="yellow"/>
        </w:rPr>
        <w:t xml:space="preserve">Availability: </w:t>
      </w:r>
      <w:r w:rsidRPr="003874FC">
        <w:rPr>
          <w:rFonts w:asciiTheme="minorHAnsi" w:hAnsiTheme="minorHAnsi" w:cstheme="minorHAnsi"/>
          <w:color w:val="auto"/>
          <w:sz w:val="22"/>
          <w:highlight w:val="yellow"/>
        </w:rPr>
        <w:t>Information and systems are available for operation and use to meet the entity's objectives.</w:t>
      </w:r>
    </w:p>
    <w:p w:rsidR="000C1C05" w:rsidRPr="003874FC" w:rsidRDefault="000C1C05" w:rsidP="000C1C05">
      <w:pPr>
        <w:pStyle w:val="Bullets"/>
        <w:ind w:left="720"/>
        <w:rPr>
          <w:rFonts w:asciiTheme="minorHAnsi" w:hAnsiTheme="minorHAnsi" w:cstheme="minorHAnsi"/>
          <w:i/>
          <w:color w:val="auto"/>
          <w:sz w:val="22"/>
          <w:highlight w:val="yellow"/>
        </w:rPr>
      </w:pPr>
      <w:r w:rsidRPr="003874FC">
        <w:rPr>
          <w:rFonts w:asciiTheme="minorHAnsi" w:hAnsiTheme="minorHAnsi" w:cstheme="minorHAnsi"/>
          <w:i/>
          <w:color w:val="auto"/>
          <w:sz w:val="22"/>
          <w:highlight w:val="yellow"/>
        </w:rPr>
        <w:t xml:space="preserve">Processing Integrity: </w:t>
      </w:r>
      <w:r w:rsidRPr="003874FC">
        <w:rPr>
          <w:rFonts w:asciiTheme="minorHAnsi" w:hAnsiTheme="minorHAnsi" w:cstheme="minorHAnsi"/>
          <w:color w:val="auto"/>
          <w:sz w:val="22"/>
          <w:highlight w:val="yellow"/>
        </w:rPr>
        <w:t>System processing is complete, valid, accurate, timely, and authorized to meet the entity's objectives.</w:t>
      </w:r>
    </w:p>
    <w:p w:rsidR="000C1C05" w:rsidRPr="003874FC" w:rsidRDefault="000C1C05" w:rsidP="000C1C05">
      <w:pPr>
        <w:pStyle w:val="Bullets"/>
        <w:ind w:left="720"/>
        <w:rPr>
          <w:rFonts w:asciiTheme="minorHAnsi" w:hAnsiTheme="minorHAnsi" w:cstheme="minorHAnsi"/>
          <w:color w:val="auto"/>
          <w:sz w:val="22"/>
          <w:highlight w:val="yellow"/>
        </w:rPr>
      </w:pPr>
      <w:r w:rsidRPr="003874FC">
        <w:rPr>
          <w:rFonts w:asciiTheme="minorHAnsi" w:hAnsiTheme="minorHAnsi" w:cstheme="minorHAnsi"/>
          <w:i/>
          <w:color w:val="auto"/>
          <w:sz w:val="22"/>
          <w:highlight w:val="yellow"/>
        </w:rPr>
        <w:t>Confidentiality</w:t>
      </w:r>
      <w:r w:rsidRPr="003874FC">
        <w:rPr>
          <w:rFonts w:asciiTheme="minorHAnsi" w:hAnsiTheme="minorHAnsi" w:cstheme="minorHAnsi"/>
          <w:color w:val="auto"/>
          <w:sz w:val="22"/>
          <w:highlight w:val="yellow"/>
        </w:rPr>
        <w:t>: Information designated as confidential is protected to meet the entity's objectives.</w:t>
      </w:r>
    </w:p>
    <w:p w:rsidR="000C1C05" w:rsidRPr="003874FC" w:rsidRDefault="000C1C05" w:rsidP="000C1C05">
      <w:pPr>
        <w:pStyle w:val="Bullets"/>
        <w:ind w:left="720"/>
        <w:rPr>
          <w:rFonts w:asciiTheme="minorHAnsi" w:hAnsiTheme="minorHAnsi" w:cstheme="minorHAnsi"/>
          <w:color w:val="auto"/>
          <w:sz w:val="22"/>
          <w:highlight w:val="yellow"/>
        </w:rPr>
      </w:pPr>
      <w:r w:rsidRPr="003874FC">
        <w:rPr>
          <w:rFonts w:asciiTheme="minorHAnsi" w:hAnsiTheme="minorHAnsi" w:cstheme="minorHAnsi"/>
          <w:i/>
          <w:color w:val="auto"/>
          <w:sz w:val="22"/>
          <w:highlight w:val="yellow"/>
        </w:rPr>
        <w:t>Privacy</w:t>
      </w:r>
      <w:r w:rsidRPr="003874FC">
        <w:rPr>
          <w:rFonts w:asciiTheme="minorHAnsi" w:hAnsiTheme="minorHAnsi" w:cstheme="minorHAnsi"/>
          <w:color w:val="auto"/>
          <w:sz w:val="22"/>
          <w:highlight w:val="yellow"/>
        </w:rPr>
        <w:t>: Information designated as data subject Personal Identifiable Information is protected to meet the entity's objectives.</w:t>
      </w:r>
    </w:p>
    <w:p w:rsidR="005A7C9D" w:rsidRPr="005A7C9D" w:rsidRDefault="005A7C9D" w:rsidP="005A7C9D">
      <w:pPr>
        <w:shd w:val="clear" w:color="auto" w:fill="FEFEFE"/>
        <w:spacing w:after="360" w:line="240" w:lineRule="auto"/>
        <w:rPr>
          <w:rFonts w:eastAsia="Times New Roman" w:cstheme="minorHAnsi"/>
        </w:rPr>
      </w:pPr>
      <w:r w:rsidRPr="005A7C9D">
        <w:rPr>
          <w:rFonts w:eastAsia="Times New Roman" w:cstheme="minorHAnsi"/>
        </w:rPr>
        <w:t xml:space="preserve">SOC 2 engagements are performed in accordance with the </w:t>
      </w:r>
      <w:r w:rsidR="008839E0" w:rsidRPr="003874FC">
        <w:rPr>
          <w:rFonts w:eastAsia="Times New Roman" w:cstheme="minorHAnsi"/>
        </w:rPr>
        <w:t>AICPA’s attestation standards (specifically – SSAE #18)</w:t>
      </w:r>
      <w:r w:rsidRPr="005A7C9D">
        <w:rPr>
          <w:rFonts w:eastAsia="Times New Roman" w:cstheme="minorHAnsi"/>
        </w:rPr>
        <w:t xml:space="preserve">. </w:t>
      </w:r>
      <w:r w:rsidR="008839E0" w:rsidRPr="003874FC">
        <w:rPr>
          <w:rFonts w:eastAsia="Times New Roman" w:cstheme="minorHAnsi"/>
          <w:highlight w:val="yellow"/>
        </w:rPr>
        <w:t>XYZ Company’s</w:t>
      </w:r>
      <w:r w:rsidR="008839E0" w:rsidRPr="003874FC">
        <w:rPr>
          <w:rFonts w:eastAsia="Times New Roman" w:cstheme="minorHAnsi"/>
        </w:rPr>
        <w:t xml:space="preserve"> examination</w:t>
      </w:r>
      <w:r w:rsidRPr="005A7C9D">
        <w:rPr>
          <w:rFonts w:eastAsia="Times New Roman" w:cstheme="minorHAnsi"/>
        </w:rPr>
        <w:t xml:space="preserve"> was completed by </w:t>
      </w:r>
      <w:r w:rsidR="008839E0" w:rsidRPr="003874FC">
        <w:rPr>
          <w:rFonts w:eastAsia="Times New Roman" w:cstheme="minorHAnsi"/>
        </w:rPr>
        <w:t>K Financial</w:t>
      </w:r>
      <w:r w:rsidRPr="005A7C9D">
        <w:rPr>
          <w:rFonts w:eastAsia="Times New Roman" w:cstheme="minorHAnsi"/>
        </w:rPr>
        <w:t>, a global provider of attestation and compliance services</w:t>
      </w:r>
      <w:r w:rsidR="003874FC" w:rsidRPr="003874FC">
        <w:rPr>
          <w:rFonts w:eastAsia="Times New Roman" w:cstheme="minorHAnsi"/>
        </w:rPr>
        <w:t xml:space="preserve"> that specializes in SOC reporting</w:t>
      </w:r>
      <w:r w:rsidRPr="005A7C9D">
        <w:rPr>
          <w:rFonts w:eastAsia="Times New Roman" w:cstheme="minorHAnsi"/>
        </w:rPr>
        <w:t>.</w:t>
      </w:r>
    </w:p>
    <w:p w:rsidR="00A657E3" w:rsidRPr="003874FC" w:rsidRDefault="005A7C9D" w:rsidP="003874FC">
      <w:pPr>
        <w:shd w:val="clear" w:color="auto" w:fill="FEFEFE"/>
        <w:spacing w:after="360" w:line="240" w:lineRule="auto"/>
        <w:rPr>
          <w:rFonts w:eastAsia="Times New Roman" w:cstheme="minorHAnsi"/>
        </w:rPr>
      </w:pPr>
      <w:r w:rsidRPr="005A7C9D">
        <w:rPr>
          <w:rFonts w:eastAsia="Times New Roman" w:cstheme="minorHAnsi"/>
        </w:rPr>
        <w:t xml:space="preserve">While SOC 2 is not required, the SOC 2 </w:t>
      </w:r>
      <w:r w:rsidR="008839E0" w:rsidRPr="003874FC">
        <w:rPr>
          <w:rFonts w:eastAsia="Times New Roman" w:cstheme="minorHAnsi"/>
        </w:rPr>
        <w:t>examination</w:t>
      </w:r>
      <w:r w:rsidRPr="005A7C9D">
        <w:rPr>
          <w:rFonts w:eastAsia="Times New Roman" w:cstheme="minorHAnsi"/>
        </w:rPr>
        <w:t xml:space="preserve"> plays a vital role in </w:t>
      </w:r>
      <w:r w:rsidR="008839E0" w:rsidRPr="003874FC">
        <w:rPr>
          <w:rFonts w:eastAsia="Times New Roman" w:cstheme="minorHAnsi"/>
        </w:rPr>
        <w:t>securing customer data. “Completing the SOC 2 examination</w:t>
      </w:r>
      <w:r w:rsidRPr="005A7C9D">
        <w:rPr>
          <w:rFonts w:eastAsia="Times New Roman" w:cstheme="minorHAnsi"/>
        </w:rPr>
        <w:t xml:space="preserve"> provides our clients with the confidence that t</w:t>
      </w:r>
      <w:r w:rsidR="008839E0" w:rsidRPr="003874FC">
        <w:rPr>
          <w:rFonts w:eastAsia="Times New Roman" w:cstheme="minorHAnsi"/>
        </w:rPr>
        <w:t>he</w:t>
      </w:r>
      <w:r w:rsidRPr="005A7C9D">
        <w:rPr>
          <w:rFonts w:eastAsia="Times New Roman" w:cstheme="minorHAnsi"/>
        </w:rPr>
        <w:t xml:space="preserve"> controls that we im</w:t>
      </w:r>
      <w:r w:rsidR="008839E0" w:rsidRPr="003874FC">
        <w:rPr>
          <w:rFonts w:eastAsia="Times New Roman" w:cstheme="minorHAnsi"/>
        </w:rPr>
        <w:t xml:space="preserve">plement to ensure data security </w:t>
      </w:r>
      <w:r w:rsidRPr="005A7C9D">
        <w:rPr>
          <w:rFonts w:eastAsia="Times New Roman" w:cstheme="minorHAnsi"/>
        </w:rPr>
        <w:t xml:space="preserve">are in line with industry standards and best practices,” said </w:t>
      </w:r>
      <w:r w:rsidR="008839E0" w:rsidRPr="003874FC">
        <w:rPr>
          <w:rFonts w:eastAsia="Times New Roman" w:cstheme="minorHAnsi"/>
          <w:highlight w:val="yellow"/>
        </w:rPr>
        <w:t>XXXXX</w:t>
      </w:r>
      <w:r w:rsidRPr="005A7C9D">
        <w:rPr>
          <w:rFonts w:eastAsia="Times New Roman" w:cstheme="minorHAnsi"/>
        </w:rPr>
        <w:t xml:space="preserve">, </w:t>
      </w:r>
      <w:r w:rsidRPr="005A7C9D">
        <w:rPr>
          <w:rFonts w:eastAsia="Times New Roman" w:cstheme="minorHAnsi"/>
          <w:highlight w:val="yellow"/>
        </w:rPr>
        <w:t xml:space="preserve">Chief Business Officer at </w:t>
      </w:r>
      <w:r w:rsidR="008839E0" w:rsidRPr="003874FC">
        <w:rPr>
          <w:rFonts w:eastAsia="Times New Roman" w:cstheme="minorHAnsi"/>
          <w:highlight w:val="yellow"/>
        </w:rPr>
        <w:t>XYZ Company</w:t>
      </w:r>
      <w:r w:rsidRPr="005A7C9D">
        <w:rPr>
          <w:rFonts w:eastAsia="Times New Roman" w:cstheme="minorHAnsi"/>
        </w:rPr>
        <w:t>.</w:t>
      </w:r>
    </w:p>
    <w:sectPr w:rsidR="00A657E3" w:rsidRPr="00387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425"/>
    <w:multiLevelType w:val="hybridMultilevel"/>
    <w:tmpl w:val="9A56803A"/>
    <w:lvl w:ilvl="0" w:tplc="D4927432">
      <w:start w:val="1"/>
      <w:numFmt w:val="bullet"/>
      <w:pStyle w:val="Bullets"/>
      <w:lvlText w:val=""/>
      <w:lvlJc w:val="left"/>
      <w:pPr>
        <w:ind w:left="360" w:hanging="360"/>
      </w:pPr>
      <w:rPr>
        <w:rFonts w:ascii="Symbol" w:hAnsi="Symbol" w:hint="default"/>
        <w:color w:val="385D7F"/>
      </w:rPr>
    </w:lvl>
    <w:lvl w:ilvl="1" w:tplc="0DF845A6">
      <w:start w:val="1"/>
      <w:numFmt w:val="bullet"/>
      <w:pStyle w:val="Bullets-Sub"/>
      <w:lvlText w:val="–"/>
      <w:lvlJc w:val="left"/>
      <w:pPr>
        <w:ind w:left="1440" w:hanging="360"/>
      </w:pPr>
      <w:rPr>
        <w:rFonts w:ascii="Arial" w:hAnsi="Arial" w:hint="default"/>
        <w:color w:val="ED7D31" w:themeColor="accent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9D"/>
    <w:rsid w:val="000C1C05"/>
    <w:rsid w:val="003874FC"/>
    <w:rsid w:val="004B3D7A"/>
    <w:rsid w:val="005500B6"/>
    <w:rsid w:val="005A7C9D"/>
    <w:rsid w:val="008839E0"/>
    <w:rsid w:val="00A657E3"/>
    <w:rsid w:val="00DE1F75"/>
    <w:rsid w:val="00E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F1B8"/>
  <w15:chartTrackingRefBased/>
  <w15:docId w15:val="{4BC11D9F-EA02-410D-B32D-79110BE4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7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57E3"/>
    <w:rPr>
      <w:color w:val="0000FF"/>
      <w:u w:val="single"/>
    </w:rPr>
  </w:style>
  <w:style w:type="character" w:customStyle="1" w:styleId="xn-chron">
    <w:name w:val="xn-chron"/>
    <w:basedOn w:val="DefaultParagraphFont"/>
    <w:rsid w:val="00A657E3"/>
  </w:style>
  <w:style w:type="character" w:customStyle="1" w:styleId="xn-person">
    <w:name w:val="xn-person"/>
    <w:basedOn w:val="DefaultParagraphFont"/>
    <w:rsid w:val="00A657E3"/>
  </w:style>
  <w:style w:type="paragraph" w:styleId="BalloonText">
    <w:name w:val="Balloon Text"/>
    <w:basedOn w:val="Normal"/>
    <w:link w:val="BalloonTextChar"/>
    <w:uiPriority w:val="99"/>
    <w:semiHidden/>
    <w:unhideWhenUsed/>
    <w:rsid w:val="00A65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7E3"/>
    <w:rPr>
      <w:rFonts w:ascii="Segoe UI" w:hAnsi="Segoe UI" w:cs="Segoe UI"/>
      <w:sz w:val="18"/>
      <w:szCs w:val="18"/>
    </w:rPr>
  </w:style>
  <w:style w:type="paragraph" w:customStyle="1" w:styleId="Bullets">
    <w:name w:val="Bullets"/>
    <w:basedOn w:val="Normal"/>
    <w:link w:val="BulletsChar"/>
    <w:qFormat/>
    <w:rsid w:val="000C1C05"/>
    <w:pPr>
      <w:numPr>
        <w:numId w:val="1"/>
      </w:numPr>
      <w:spacing w:after="80" w:line="276" w:lineRule="auto"/>
      <w:jc w:val="both"/>
    </w:pPr>
    <w:rPr>
      <w:rFonts w:ascii="Arial" w:hAnsi="Arial"/>
      <w:color w:val="000000" w:themeColor="text1"/>
      <w:sz w:val="20"/>
    </w:rPr>
  </w:style>
  <w:style w:type="paragraph" w:customStyle="1" w:styleId="Bullets-Sub">
    <w:name w:val="Bullets - Sub"/>
    <w:basedOn w:val="Bullets"/>
    <w:qFormat/>
    <w:rsid w:val="000C1C05"/>
    <w:pPr>
      <w:numPr>
        <w:ilvl w:val="1"/>
      </w:numPr>
      <w:ind w:left="450" w:hanging="180"/>
      <w:contextualSpacing/>
    </w:pPr>
  </w:style>
  <w:style w:type="character" w:customStyle="1" w:styleId="BulletsChar">
    <w:name w:val="Bullets Char"/>
    <w:basedOn w:val="DefaultParagraphFont"/>
    <w:link w:val="Bullets"/>
    <w:rsid w:val="000C1C05"/>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785">
      <w:bodyDiv w:val="1"/>
      <w:marLeft w:val="0"/>
      <w:marRight w:val="0"/>
      <w:marTop w:val="0"/>
      <w:marBottom w:val="0"/>
      <w:divBdr>
        <w:top w:val="none" w:sz="0" w:space="0" w:color="auto"/>
        <w:left w:val="none" w:sz="0" w:space="0" w:color="auto"/>
        <w:bottom w:val="none" w:sz="0" w:space="0" w:color="auto"/>
        <w:right w:val="none" w:sz="0" w:space="0" w:color="auto"/>
      </w:divBdr>
    </w:div>
    <w:div w:id="17048809">
      <w:bodyDiv w:val="1"/>
      <w:marLeft w:val="0"/>
      <w:marRight w:val="0"/>
      <w:marTop w:val="0"/>
      <w:marBottom w:val="0"/>
      <w:divBdr>
        <w:top w:val="none" w:sz="0" w:space="0" w:color="auto"/>
        <w:left w:val="none" w:sz="0" w:space="0" w:color="auto"/>
        <w:bottom w:val="none" w:sz="0" w:space="0" w:color="auto"/>
        <w:right w:val="none" w:sz="0" w:space="0" w:color="auto"/>
      </w:divBdr>
    </w:div>
    <w:div w:id="554973048">
      <w:bodyDiv w:val="1"/>
      <w:marLeft w:val="0"/>
      <w:marRight w:val="0"/>
      <w:marTop w:val="0"/>
      <w:marBottom w:val="0"/>
      <w:divBdr>
        <w:top w:val="none" w:sz="0" w:space="0" w:color="auto"/>
        <w:left w:val="none" w:sz="0" w:space="0" w:color="auto"/>
        <w:bottom w:val="none" w:sz="0" w:space="0" w:color="auto"/>
        <w:right w:val="none" w:sz="0" w:space="0" w:color="auto"/>
      </w:divBdr>
      <w:divsChild>
        <w:div w:id="1769035506">
          <w:blockQuote w:val="1"/>
          <w:marLeft w:val="0"/>
          <w:marRight w:val="225"/>
          <w:marTop w:val="75"/>
          <w:marBottom w:val="225"/>
          <w:divBdr>
            <w:top w:val="none" w:sz="0" w:space="0" w:color="auto"/>
            <w:left w:val="none" w:sz="0" w:space="0" w:color="auto"/>
            <w:bottom w:val="none" w:sz="0" w:space="0" w:color="auto"/>
            <w:right w:val="none" w:sz="0" w:space="0" w:color="auto"/>
          </w:divBdr>
        </w:div>
      </w:divsChild>
    </w:div>
    <w:div w:id="742606368">
      <w:bodyDiv w:val="1"/>
      <w:marLeft w:val="0"/>
      <w:marRight w:val="0"/>
      <w:marTop w:val="0"/>
      <w:marBottom w:val="0"/>
      <w:divBdr>
        <w:top w:val="none" w:sz="0" w:space="0" w:color="auto"/>
        <w:left w:val="none" w:sz="0" w:space="0" w:color="auto"/>
        <w:bottom w:val="none" w:sz="0" w:space="0" w:color="auto"/>
        <w:right w:val="none" w:sz="0" w:space="0" w:color="auto"/>
      </w:divBdr>
      <w:divsChild>
        <w:div w:id="738476471">
          <w:marLeft w:val="0"/>
          <w:marRight w:val="0"/>
          <w:marTop w:val="0"/>
          <w:marBottom w:val="0"/>
          <w:divBdr>
            <w:top w:val="none" w:sz="0" w:space="0" w:color="auto"/>
            <w:left w:val="none" w:sz="0" w:space="0" w:color="auto"/>
            <w:bottom w:val="none" w:sz="0" w:space="0" w:color="auto"/>
            <w:right w:val="none" w:sz="0" w:space="0" w:color="auto"/>
          </w:divBdr>
        </w:div>
        <w:div w:id="1850756359">
          <w:marLeft w:val="240"/>
          <w:marRight w:val="240"/>
          <w:marTop w:val="0"/>
          <w:marBottom w:val="0"/>
          <w:divBdr>
            <w:top w:val="none" w:sz="0" w:space="0" w:color="auto"/>
            <w:left w:val="none" w:sz="0" w:space="0" w:color="auto"/>
            <w:bottom w:val="none" w:sz="0" w:space="0" w:color="auto"/>
            <w:right w:val="none" w:sz="0" w:space="0" w:color="auto"/>
          </w:divBdr>
          <w:divsChild>
            <w:div w:id="450366136">
              <w:marLeft w:val="0"/>
              <w:marRight w:val="0"/>
              <w:marTop w:val="0"/>
              <w:marBottom w:val="420"/>
              <w:divBdr>
                <w:top w:val="none" w:sz="0" w:space="0" w:color="auto"/>
                <w:left w:val="none" w:sz="0" w:space="0" w:color="auto"/>
                <w:bottom w:val="none" w:sz="0" w:space="0" w:color="auto"/>
                <w:right w:val="none" w:sz="0" w:space="0" w:color="auto"/>
              </w:divBdr>
            </w:div>
            <w:div w:id="12133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7546">
      <w:bodyDiv w:val="1"/>
      <w:marLeft w:val="0"/>
      <w:marRight w:val="0"/>
      <w:marTop w:val="0"/>
      <w:marBottom w:val="0"/>
      <w:divBdr>
        <w:top w:val="none" w:sz="0" w:space="0" w:color="auto"/>
        <w:left w:val="none" w:sz="0" w:space="0" w:color="auto"/>
        <w:bottom w:val="none" w:sz="0" w:space="0" w:color="auto"/>
        <w:right w:val="none" w:sz="0" w:space="0" w:color="auto"/>
      </w:divBdr>
      <w:divsChild>
        <w:div w:id="63140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icpa.org/interestareas/frc/assuranceadvisoryservices/sorhom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Kilcoyne</dc:creator>
  <cp:keywords/>
  <dc:description/>
  <cp:lastModifiedBy>Jamie Kilcoyne</cp:lastModifiedBy>
  <cp:revision>3</cp:revision>
  <cp:lastPrinted>2021-03-30T15:54:00Z</cp:lastPrinted>
  <dcterms:created xsi:type="dcterms:W3CDTF">2021-03-30T15:34:00Z</dcterms:created>
  <dcterms:modified xsi:type="dcterms:W3CDTF">2021-03-30T17:01:00Z</dcterms:modified>
</cp:coreProperties>
</file>